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0"/>
        <w:jc w:val="center"/>
      </w:pPr>
      <w:r>
        <w:rPr>
          <w:rFonts w:ascii="Times New Roman" w:hAnsi="Times New Roman" w:eastAsia="Times New Roman"/>
          <w:b w:val="0"/>
          <w:sz w:val="28"/>
        </w:rPr>
        <w:t>“Customs Valuation in Practice: From Imported Value to Duty Calculation”</w:t>
      </w:r>
    </w:p>
    <w:p>
      <w:pPr>
        <w:spacing w:line="360" w:lineRule="auto" w:after="120" w:before="160"/>
        <w:jc w:val="both"/>
      </w:pPr>
      <w:r>
        <w:rPr>
          <w:rFonts w:ascii="Times New Roman" w:hAnsi="Times New Roman" w:eastAsia="Times New Roman"/>
          <w:b/>
          <w:sz w:val="24"/>
        </w:rPr>
        <w:t>Introduction</w:t>
      </w:r>
    </w:p>
    <w:p>
      <w:pPr>
        <w:spacing w:line="360" w:lineRule="auto" w:after="0"/>
        <w:jc w:val="both"/>
      </w:pPr>
      <w:r>
        <w:rPr>
          <w:rFonts w:ascii="Times New Roman" w:hAnsi="Times New Roman" w:eastAsia="Times New Roman"/>
          <w:b w:val="0"/>
          <w:sz w:val="24"/>
        </w:rPr>
        <w:t>When goods enter India from another country, the amount paid to the foreign seller is only the starting point for calculating customs duty. An importer may look at the commercial invoice and think that the invoice amount is the value on which duty will be charged. In practice, customs valuation is a little more detailed. The law requires the value of imported goods to be determined in a particular manner, and certain costs may have to be added before customs duty is calculated.</w:t>
      </w:r>
    </w:p>
    <w:p>
      <w:pPr>
        <w:spacing w:line="360" w:lineRule="auto" w:after="0"/>
        <w:jc w:val="both"/>
      </w:pPr>
      <w:r>
        <w:rPr>
          <w:rFonts w:ascii="Times New Roman" w:hAnsi="Times New Roman" w:eastAsia="Times New Roman"/>
          <w:b w:val="0"/>
          <w:sz w:val="24"/>
        </w:rPr>
        <w:t>This becomes important because a small difference in the assessable value can affect the entire duty liability. For a business importing machinery, electronic equipment, raw materials or finished products, customs valuation is therefore not just a procedural formality. It directly affects the cost of bringing the goods into India. The Customs Act, 1962, together with the Customs Valuation (Determination of Value of Imported Goods) Rules, 2007, provides the framework for this process. Section 14 of the Customs Act lays down the basic principle of valuation, while the Valuation Rules explain how that value is to be determined.</w:t>
      </w:r>
    </w:p>
    <w:p>
      <w:pPr>
        <w:spacing w:line="360" w:lineRule="auto" w:after="0"/>
        <w:jc w:val="both"/>
      </w:pPr>
      <w:r>
        <w:rPr>
          <w:rFonts w:ascii="Times New Roman" w:hAnsi="Times New Roman" w:eastAsia="Times New Roman"/>
          <w:b w:val="0"/>
          <w:sz w:val="24"/>
        </w:rPr>
        <w:t>This blog explains the process through a simple import transaction and then examines what happens when the declared value cannot be accepted by Customs.</w:t>
      </w:r>
    </w:p>
    <w:p>
      <w:pPr>
        <w:spacing w:line="360" w:lineRule="auto" w:after="120" w:before="160"/>
        <w:jc w:val="both"/>
      </w:pPr>
      <w:r>
        <w:rPr>
          <w:rFonts w:ascii="Times New Roman" w:hAnsi="Times New Roman" w:eastAsia="Times New Roman"/>
          <w:b/>
          <w:sz w:val="24"/>
        </w:rPr>
        <w:t>The Legal Starting Point: Section 14 of the Customs Act, 1962</w:t>
      </w:r>
    </w:p>
    <w:p>
      <w:pPr>
        <w:spacing w:line="360" w:lineRule="auto" w:after="0"/>
        <w:jc w:val="both"/>
      </w:pPr>
      <w:r>
        <w:rPr>
          <w:rFonts w:ascii="Times New Roman" w:hAnsi="Times New Roman" w:eastAsia="Times New Roman"/>
          <w:b w:val="0"/>
          <w:sz w:val="24"/>
        </w:rPr>
        <w:t>Section 14 of the Customs Act, 1962 is the main provision dealing with valuation of imported goods. Broadly, where goods are sold for export to India, their value is the transaction value, meaning the price actually paid or payable, subject to the conditions and adjustments prescribed by law. The provision also recognises that amounts such as transportation, insurance, loading, unloading and handling may have to be included in the value in the manner specified by the Valuation Rules.</w:t>
      </w:r>
    </w:p>
    <w:p>
      <w:pPr>
        <w:spacing w:line="360" w:lineRule="auto" w:after="0"/>
        <w:jc w:val="both"/>
      </w:pPr>
      <w:r>
        <w:rPr>
          <w:rFonts w:ascii="Times New Roman" w:hAnsi="Times New Roman" w:eastAsia="Times New Roman"/>
          <w:b w:val="0"/>
          <w:sz w:val="24"/>
        </w:rPr>
        <w:t>The important point here is that customs valuation is not automatically the same as the figure appearing on an invoice.</w:t>
      </w:r>
    </w:p>
    <w:p>
      <w:pPr>
        <w:spacing w:line="360" w:lineRule="auto" w:after="120" w:before="160"/>
        <w:jc w:val="both"/>
      </w:pPr>
      <w:r>
        <w:rPr>
          <w:rFonts w:ascii="Times New Roman" w:hAnsi="Times New Roman" w:eastAsia="Times New Roman"/>
          <w:b/>
          <w:sz w:val="24"/>
        </w:rPr>
        <w:t>Transaction Value and the Valuation Rules</w:t>
      </w:r>
    </w:p>
    <w:p>
      <w:pPr>
        <w:spacing w:line="360" w:lineRule="auto" w:after="0"/>
        <w:jc w:val="both"/>
      </w:pPr>
      <w:r>
        <w:rPr>
          <w:rFonts w:ascii="Times New Roman" w:hAnsi="Times New Roman" w:eastAsia="Times New Roman"/>
          <w:b w:val="0"/>
          <w:sz w:val="24"/>
        </w:rPr>
        <w:t>Rule 3 of the Customs Valuation (Determination of Value of Imported Goods) Rules, 2007 gives primary importance to the transaction value. Subject to Rule 12, the value of imported goods is the transaction value adjusted in accordance with Rule 10. Where this method cannot be applied, the Rules provide a sequential system under Rules 4 to 9.</w:t>
      </w:r>
    </w:p>
    <w:p>
      <w:pPr>
        <w:spacing w:line="360" w:lineRule="auto" w:after="0"/>
        <w:jc w:val="both"/>
      </w:pPr>
      <w:r>
        <w:rPr>
          <w:rFonts w:ascii="Times New Roman" w:hAnsi="Times New Roman" w:eastAsia="Times New Roman"/>
          <w:b w:val="0"/>
          <w:sz w:val="24"/>
        </w:rPr>
        <w:t>This sequence is important. Customs cannot simply replace an importer's declared price with an arbitrary figure because another price appears higher. In Eicher Tractors Ltd. v. Commissioner of Customs, the Supreme Court emphasised the importance of the price actually paid or payable for the particular transaction and held that the subsequent valuation methods become relevant only when the transaction value is not acceptable under the Rules.</w:t>
      </w:r>
    </w:p>
    <w:p>
      <w:pPr>
        <w:spacing w:line="360" w:lineRule="auto" w:after="0"/>
        <w:jc w:val="both"/>
      </w:pPr>
      <w:r>
        <w:rPr>
          <w:rFonts w:ascii="Times New Roman" w:hAnsi="Times New Roman" w:eastAsia="Times New Roman"/>
          <w:b w:val="0"/>
          <w:sz w:val="24"/>
        </w:rPr>
        <w:t>At the same time, transaction value is not an absolute rule. Rule 12 allows the proper officer to question the declared value when there is a reasonable doubt about its truth or accuracy. The importer may be asked to provide further information or documents. If the doubt remains after the prescribed process, the declared value may be rejected and the value is then determined sequentially under Rules 4 to 9.</w:t>
      </w:r>
    </w:p>
    <w:p>
      <w:pPr>
        <w:spacing w:line="360" w:lineRule="auto" w:after="120" w:before="160"/>
        <w:jc w:val="both"/>
      </w:pPr>
      <w:r>
        <w:rPr>
          <w:rFonts w:ascii="Times New Roman" w:hAnsi="Times New Roman" w:eastAsia="Times New Roman"/>
          <w:b/>
          <w:sz w:val="24"/>
        </w:rPr>
        <w:t>What Has to Be Added to the Imported Value?</w:t>
      </w:r>
    </w:p>
    <w:p>
      <w:pPr>
        <w:spacing w:line="360" w:lineRule="auto" w:after="0"/>
        <w:jc w:val="both"/>
      </w:pPr>
      <w:r>
        <w:rPr>
          <w:rFonts w:ascii="Times New Roman" w:hAnsi="Times New Roman" w:eastAsia="Times New Roman"/>
          <w:b w:val="0"/>
          <w:sz w:val="24"/>
        </w:rPr>
        <w:t>Rule 10 is particularly relevant in a practical calculation. Certain costs and services have to be added to the price actually paid or payable where they are not already included. These can include commissions and brokerage other than buying commissions, packing costs, the cost of containers, certain goods or services supplied by the buyer free of charge or at reduced cost, and qualifying royalties and licence fees. The rule also deals with certain proceeds of subsequent resale and other payments made as a condition of sale.</w:t>
      </w:r>
    </w:p>
    <w:p>
      <w:pPr>
        <w:spacing w:line="360" w:lineRule="auto" w:after="0"/>
        <w:jc w:val="both"/>
      </w:pPr>
      <w:r>
        <w:rPr>
          <w:rFonts w:ascii="Times New Roman" w:hAnsi="Times New Roman" w:eastAsia="Times New Roman"/>
          <w:b w:val="0"/>
          <w:sz w:val="24"/>
        </w:rPr>
        <w:t>In addition, the valuation provisions require the cost of transport, loading, unloading and handling associated with delivery to the place of importation and the cost of insurance to be taken into account in the prescribed manner. Where the actual cost of transport or insurance cannot be ascertained, the Rules provide prescribed methods for determining those components.</w:t>
      </w:r>
    </w:p>
    <w:p>
      <w:pPr>
        <w:spacing w:line="360" w:lineRule="auto" w:after="0"/>
        <w:jc w:val="both"/>
      </w:pPr>
      <w:r>
        <w:rPr>
          <w:rFonts w:ascii="Times New Roman" w:hAnsi="Times New Roman" w:eastAsia="Times New Roman"/>
          <w:b w:val="0"/>
          <w:sz w:val="24"/>
        </w:rPr>
        <w:t>The valuation exercise depends on the facts of the particular transaction.</w:t>
      </w:r>
    </w:p>
    <w:p>
      <w:pPr>
        <w:spacing w:line="360" w:lineRule="auto" w:after="120" w:before="160"/>
        <w:jc w:val="both"/>
      </w:pPr>
      <w:r>
        <w:rPr>
          <w:rFonts w:ascii="Times New Roman" w:hAnsi="Times New Roman" w:eastAsia="Times New Roman"/>
          <w:b/>
          <w:sz w:val="24"/>
        </w:rPr>
        <w:t>A Practical Example: From Invoice Value to Assessable Value</w:t>
      </w:r>
    </w:p>
    <w:p>
      <w:pPr>
        <w:spacing w:line="360" w:lineRule="auto" w:after="0"/>
        <w:jc w:val="both"/>
      </w:pPr>
      <w:r>
        <w:rPr>
          <w:rFonts w:ascii="Times New Roman" w:hAnsi="Times New Roman" w:eastAsia="Times New Roman"/>
          <w:b w:val="0"/>
          <w:sz w:val="24"/>
        </w:rPr>
        <w:t>Consider an Indian company importing a consignment of industrial electronic equipment from a supplier in Singapore. For the purpose of this illustration, assume that the commercial invoice shows a free-on-board (FOB) price of USD 10,000. The actual freight from Singapore to India is USD 1,000 and insurance is USD 100. Assume, only for demonstrating the calculation, that the applicable customs exchange rate is ₹85 for USD 1.</w:t>
      </w:r>
    </w:p>
    <w:p>
      <w:pPr>
        <w:spacing w:line="360" w:lineRule="auto" w:after="0"/>
        <w:jc w:val="both"/>
      </w:pPr>
      <w:r>
        <w:rPr>
          <w:rFonts w:ascii="Times New Roman" w:hAnsi="Times New Roman" w:eastAsia="Times New Roman"/>
          <w:b w:val="0"/>
          <w:sz w:val="24"/>
        </w:rPr>
        <w:t>The first step is to convert the foreign currency figures into Indian rupees using the applicable customs exchange rate. The FOB value of USD 10,000 becomes ₹8,50,000. Freight of USD 1,000 becomes ₹85,000 and insurance of USD 100 becomes ₹8,500.</w:t>
      </w:r>
    </w:p>
    <w:p>
      <w:pPr>
        <w:spacing w:line="360" w:lineRule="auto" w:after="0"/>
        <w:jc w:val="both"/>
      </w:pPr>
      <w:r>
        <w:rPr>
          <w:rFonts w:ascii="Times New Roman" w:hAnsi="Times New Roman" w:eastAsia="Times New Roman"/>
          <w:b w:val="0"/>
          <w:sz w:val="24"/>
        </w:rPr>
        <w:t>Therefore:</w:t>
      </w:r>
    </w:p>
    <w:p>
      <w:pPr>
        <w:spacing w:line="360" w:lineRule="auto" w:after="0"/>
        <w:jc w:val="both"/>
      </w:pPr>
      <w:r>
        <w:rPr>
          <w:rFonts w:ascii="Times New Roman" w:hAnsi="Times New Roman" w:eastAsia="Times New Roman"/>
          <w:b w:val="0"/>
          <w:sz w:val="24"/>
        </w:rPr>
        <w:t>FOB value = ₹8,50,000</w:t>
        <w:br/>
        <w:t>Freight = ₹85,000</w:t>
        <w:br/>
        <w:t>Insurance = ₹8,500</w:t>
        <w:br/>
        <w:t>Assessable Value = ₹9,43,500</w:t>
      </w:r>
    </w:p>
    <w:p>
      <w:pPr>
        <w:spacing w:line="360" w:lineRule="auto" w:after="0"/>
        <w:jc w:val="both"/>
      </w:pPr>
      <w:r>
        <w:rPr>
          <w:rFonts w:ascii="Times New Roman" w:hAnsi="Times New Roman" w:eastAsia="Times New Roman"/>
          <w:b w:val="0"/>
          <w:sz w:val="24"/>
        </w:rPr>
        <w:t>In this example, the actual freight and insurance figures are available, so there is no need to use the prescribed fallback percentages for those components. The resulting ₹9,43,500 becomes the assessable value for the next stage of the calculation, assuming there are no other additions required under Rule 10 and no tariff value or special valuation provision applies.</w:t>
      </w:r>
    </w:p>
    <w:p>
      <w:pPr>
        <w:spacing w:line="360" w:lineRule="auto" w:after="120" w:before="160"/>
        <w:jc w:val="both"/>
      </w:pPr>
      <w:r>
        <w:rPr>
          <w:rFonts w:ascii="Times New Roman" w:hAnsi="Times New Roman" w:eastAsia="Times New Roman"/>
          <w:b/>
          <w:sz w:val="24"/>
        </w:rPr>
        <w:t>Calculation of Customs Duty</w:t>
      </w:r>
    </w:p>
    <w:p>
      <w:pPr>
        <w:spacing w:line="360" w:lineRule="auto" w:after="0"/>
        <w:jc w:val="both"/>
      </w:pPr>
      <w:r>
        <w:rPr>
          <w:rFonts w:ascii="Times New Roman" w:hAnsi="Times New Roman" w:eastAsia="Times New Roman"/>
          <w:b w:val="0"/>
          <w:sz w:val="24"/>
        </w:rPr>
        <w:t>For this illustration, assume that the goods attract Basic Customs Duty (BCD) of 10% and IGST of 18%.</w:t>
      </w:r>
    </w:p>
    <w:p>
      <w:pPr>
        <w:spacing w:line="360" w:lineRule="auto" w:after="0"/>
        <w:jc w:val="both"/>
      </w:pPr>
      <w:r>
        <w:rPr>
          <w:rFonts w:ascii="Times New Roman" w:hAnsi="Times New Roman" w:eastAsia="Times New Roman"/>
          <w:b w:val="0"/>
          <w:sz w:val="24"/>
        </w:rPr>
        <w:t>1. Basic Customs Duty (BCD)</w:t>
        <w:br/>
        <w:t>BCD = 10% of ₹9,43,500</w:t>
        <w:br/>
        <w:t>= ₹94,350</w:t>
      </w:r>
    </w:p>
    <w:p>
      <w:pPr>
        <w:spacing w:line="360" w:lineRule="auto" w:after="0"/>
        <w:jc w:val="both"/>
      </w:pPr>
      <w:r>
        <w:rPr>
          <w:rFonts w:ascii="Times New Roman" w:hAnsi="Times New Roman" w:eastAsia="Times New Roman"/>
          <w:b w:val="0"/>
          <w:sz w:val="24"/>
        </w:rPr>
        <w:t>2. Social Welfare Surcharge (SWS)</w:t>
        <w:br/>
        <w:t>SWS is generally calculated at 10% of the specified customs duties, subject to the exclusions provided by law. On the assumed BCD in this example:</w:t>
        <w:br/>
        <w:t>SWS = 10% of ₹94,350</w:t>
        <w:br/>
        <w:t>= ₹9,435.</w:t>
      </w:r>
    </w:p>
    <w:p>
      <w:pPr>
        <w:spacing w:line="360" w:lineRule="auto" w:after="0"/>
        <w:jc w:val="both"/>
      </w:pPr>
      <w:r>
        <w:rPr>
          <w:rFonts w:ascii="Times New Roman" w:hAnsi="Times New Roman" w:eastAsia="Times New Roman"/>
          <w:b w:val="0"/>
          <w:sz w:val="24"/>
        </w:rPr>
        <w:t>3. IGST on Import</w:t>
        <w:br/>
        <w:t>The IGST base for imported goods is not simply the original invoice value. Under the Customs Tariff framework, the value for IGST includes the customs value along with the applicable customs duties and other amounts included as prescribed.</w:t>
        <w:br/>
        <w:br/>
        <w:t>IGST base = ₹9,43,500 + ₹94,350 + ₹9,435</w:t>
        <w:br/>
        <w:t>= ₹10,47,285</w:t>
        <w:br/>
        <w:br/>
        <w:t>IGST = 18% of ₹10,47,285</w:t>
        <w:br/>
        <w:t>= ₹1,88,511.30</w:t>
      </w:r>
    </w:p>
    <w:p>
      <w:pPr>
        <w:spacing w:line="360" w:lineRule="auto" w:after="0"/>
        <w:jc w:val="both"/>
      </w:pPr>
      <w:r>
        <w:rPr>
          <w:rFonts w:ascii="Times New Roman" w:hAnsi="Times New Roman" w:eastAsia="Times New Roman"/>
          <w:b w:val="0"/>
          <w:sz w:val="24"/>
        </w:rPr>
        <w:t>Therefore, the total amount of the three components in this illustration is:</w:t>
        <w:br/>
        <w:br/>
        <w:t>BCD = ₹94,350</w:t>
        <w:br/>
        <w:t>SWS = ₹9,435</w:t>
        <w:br/>
        <w:t>IGST = ₹1,88,511.30</w:t>
        <w:br/>
        <w:t>Total = ₹2,92,296.30</w:t>
      </w:r>
    </w:p>
    <w:p>
      <w:pPr>
        <w:spacing w:line="360" w:lineRule="auto" w:after="0"/>
        <w:jc w:val="both"/>
      </w:pPr>
      <w:r>
        <w:rPr>
          <w:rFonts w:ascii="Times New Roman" w:hAnsi="Times New Roman" w:eastAsia="Times New Roman"/>
          <w:b w:val="0"/>
          <w:sz w:val="24"/>
        </w:rPr>
        <w:t>This calculation shows why customs valuation matters. If the assessable value changes, BCD changes, SWS changes accordingly, and the base on which IGST is calculated can also change. The effect is therefore not limited to one part of the duty.</w:t>
      </w:r>
    </w:p>
    <w:p>
      <w:pPr>
        <w:spacing w:line="360" w:lineRule="auto" w:after="120" w:before="160"/>
        <w:jc w:val="both"/>
      </w:pPr>
      <w:r>
        <w:rPr>
          <w:rFonts w:ascii="Times New Roman" w:hAnsi="Times New Roman" w:eastAsia="Times New Roman"/>
          <w:b/>
          <w:sz w:val="24"/>
        </w:rPr>
        <w:t>What if Customs Does Not Accept the Declared Value?</w:t>
      </w:r>
    </w:p>
    <w:p>
      <w:pPr>
        <w:spacing w:line="360" w:lineRule="auto" w:after="0"/>
        <w:jc w:val="both"/>
      </w:pPr>
      <w:r>
        <w:rPr>
          <w:rFonts w:ascii="Times New Roman" w:hAnsi="Times New Roman" w:eastAsia="Times New Roman"/>
          <w:b w:val="0"/>
          <w:sz w:val="24"/>
        </w:rPr>
        <w:t>The difficulty begins when the officer has reason to doubt the declared value. For example, suppose an importer declares a price that is substantially lower than the price at which identical or similar goods have been imported at about the same time. That difference alone does not mean that the declared value can automatically be rejected. Customs valuation requires the officer to follow the mechanism provided under Rule 12 and, if the declared value is rejected, move through the prescribed valuation methods.</w:t>
      </w:r>
    </w:p>
    <w:p>
      <w:pPr>
        <w:spacing w:line="360" w:lineRule="auto" w:after="0"/>
        <w:jc w:val="both"/>
      </w:pPr>
      <w:r>
        <w:rPr>
          <w:rFonts w:ascii="Times New Roman" w:hAnsi="Times New Roman" w:eastAsia="Times New Roman"/>
          <w:b w:val="0"/>
          <w:sz w:val="24"/>
        </w:rPr>
        <w:t>The Supreme Court's decision in Commissioner of Customs, Calcutta v. South India Television (P) Ltd. is useful in this context. The case concerned an allegation of under-valuation. The Court observed that a charge of under-invoicing has to be supported by evidence and that contemporaneous imports of comparable goods may be relevant. The case demonstrates that valuation disputes are fact-sensitive and that the Department must have a proper basis for treating the declared value as unreliable.</w:t>
      </w:r>
    </w:p>
    <w:p>
      <w:pPr>
        <w:spacing w:line="360" w:lineRule="auto" w:after="0"/>
        <w:jc w:val="both"/>
      </w:pPr>
      <w:r>
        <w:rPr>
          <w:rFonts w:ascii="Times New Roman" w:hAnsi="Times New Roman" w:eastAsia="Times New Roman"/>
          <w:b w:val="0"/>
          <w:sz w:val="24"/>
        </w:rPr>
        <w:t>This is also why documents become important in valuation disputes. A genuine commercial discount, differences in quantity, commercial level, product specifications or contractual terms may explain why two apparently similar imports have different prices. A simple comparison of two invoice amounts may therefore not tell the complete story.</w:t>
      </w:r>
    </w:p>
    <w:p>
      <w:pPr>
        <w:spacing w:line="360" w:lineRule="auto" w:after="120" w:before="160"/>
        <w:jc w:val="both"/>
      </w:pPr>
      <w:r>
        <w:rPr>
          <w:rFonts w:ascii="Times New Roman" w:hAnsi="Times New Roman" w:eastAsia="Times New Roman"/>
          <w:b/>
          <w:sz w:val="24"/>
        </w:rPr>
        <w:t>Practical Difficulties Faced by Importers</w:t>
      </w:r>
    </w:p>
    <w:p>
      <w:pPr>
        <w:spacing w:line="360" w:lineRule="auto" w:after="0"/>
        <w:jc w:val="both"/>
      </w:pPr>
      <w:r>
        <w:rPr>
          <w:rFonts w:ascii="Times New Roman" w:hAnsi="Times New Roman" w:eastAsia="Times New Roman"/>
          <w:b w:val="0"/>
          <w:sz w:val="24"/>
        </w:rPr>
        <w:t>One common difficulty is deciding which payments form part of the customs value. Importers may know the invoice price but overlook costs such as certain commissions, packing expenses, royalties or other payments connected with the sale. Another issue arises when the buyer and seller are related. The relationship does not automatically make the transaction value unacceptable, but the Rules require the acceptability of the declared price to be examined in accordance with the prescribed conditions.</w:t>
      </w:r>
    </w:p>
    <w:p>
      <w:pPr>
        <w:spacing w:line="360" w:lineRule="auto" w:after="0"/>
        <w:jc w:val="both"/>
      </w:pPr>
      <w:r>
        <w:rPr>
          <w:rFonts w:ascii="Times New Roman" w:hAnsi="Times New Roman" w:eastAsia="Times New Roman"/>
          <w:b w:val="0"/>
          <w:sz w:val="24"/>
        </w:rPr>
        <w:t>Another practical problem is classification. The rate of BCD and IGST depends on the correct tariff classification of the imported goods. Therefore, valuation cannot be looked at in isolation from classification and the applicable notifications. An incorrect description of the goods may affect not only the rate of duty but also the valuation process and the documents required for clearance.</w:t>
      </w:r>
    </w:p>
    <w:p>
      <w:pPr>
        <w:spacing w:line="360" w:lineRule="auto" w:after="120" w:before="160"/>
        <w:jc w:val="both"/>
      </w:pPr>
      <w:r>
        <w:rPr>
          <w:rFonts w:ascii="Times New Roman" w:hAnsi="Times New Roman" w:eastAsia="Times New Roman"/>
          <w:b/>
          <w:sz w:val="24"/>
        </w:rPr>
        <w:t>Critical Discussion</w:t>
      </w:r>
    </w:p>
    <w:p>
      <w:pPr>
        <w:spacing w:line="360" w:lineRule="auto" w:after="0"/>
        <w:jc w:val="both"/>
      </w:pPr>
      <w:r>
        <w:rPr>
          <w:rFonts w:ascii="Times New Roman" w:hAnsi="Times New Roman" w:eastAsia="Times New Roman"/>
          <w:b w:val="0"/>
          <w:sz w:val="24"/>
        </w:rPr>
        <w:t>Customs valuation attempts to balance two interests. On one side, the importer should not be forced to pay duty on an artificial or arbitrary value when the declared transaction is genuine. On the other side, the customs administration must be able to prevent undervaluation that reduces the duty payable. The transaction-value system therefore begins with the actual commercial price but contains safeguards for cases where that price cannot be accepted.</w:t>
      </w:r>
    </w:p>
    <w:p>
      <w:pPr>
        <w:spacing w:line="360" w:lineRule="auto" w:after="0"/>
        <w:jc w:val="both"/>
      </w:pPr>
      <w:r>
        <w:rPr>
          <w:rFonts w:ascii="Times New Roman" w:hAnsi="Times New Roman" w:eastAsia="Times New Roman"/>
          <w:b w:val="0"/>
          <w:sz w:val="24"/>
        </w:rPr>
        <w:t>International transactions are not always straightforward. Discounts, related-party transactions, royalty arrangements, bundled contracts and different freight arrangements can make it difficult to identify the exact value attributable to the imported goods. This is where the Valuation Rules become important because they provide a structured method instead of leaving valuation entirely to individual discretion.</w:t>
      </w:r>
    </w:p>
    <w:p>
      <w:pPr>
        <w:spacing w:line="360" w:lineRule="auto" w:after="0"/>
        <w:jc w:val="both"/>
      </w:pPr>
      <w:r>
        <w:rPr>
          <w:rFonts w:ascii="Times New Roman" w:hAnsi="Times New Roman" w:eastAsia="Times New Roman"/>
          <w:b w:val="0"/>
          <w:sz w:val="24"/>
        </w:rPr>
        <w:t>The importer has to move through several stages and identify the correct assessable value before applying the relevant duties and taxes. In a real transaction, exemptions, preferential rates, anti-dumping duty, safeguard measures, cess or other applicable provisions may further change the final amount. The numerical example in this blog is therefore an illustration of the method, not a universal duty rate for all imports.</w:t>
      </w:r>
    </w:p>
    <w:p>
      <w:pPr>
        <w:spacing w:line="360" w:lineRule="auto" w:after="120" w:before="160"/>
        <w:jc w:val="both"/>
      </w:pPr>
      <w:r>
        <w:rPr>
          <w:rFonts w:ascii="Times New Roman" w:hAnsi="Times New Roman" w:eastAsia="Times New Roman"/>
          <w:b/>
          <w:sz w:val="24"/>
        </w:rPr>
        <w:t>Conclusion and Suggestions</w:t>
      </w:r>
    </w:p>
    <w:p>
      <w:pPr>
        <w:spacing w:line="360" w:lineRule="auto" w:after="0"/>
        <w:jc w:val="both"/>
      </w:pPr>
      <w:r>
        <w:rPr>
          <w:rFonts w:ascii="Times New Roman" w:hAnsi="Times New Roman" w:eastAsia="Times New Roman"/>
          <w:b w:val="0"/>
          <w:sz w:val="24"/>
        </w:rPr>
        <w:t>Customs valuation may initially appear to be a calculation exercise, but it is actually a combination of statutory rules, commercial documents and factual assessment. Section 14 of the Customs Act establishes the foundation, while the Customs Valuation Rules provide the method for arriving at the value. The transaction value is the starting point, but the law also provides adjustments and alternative methods where the declared value cannot be accepted.</w:t>
      </w:r>
    </w:p>
    <w:p>
      <w:pPr>
        <w:spacing w:line="360" w:lineRule="auto" w:after="0"/>
        <w:jc w:val="both"/>
      </w:pPr>
      <w:r>
        <w:rPr>
          <w:rFonts w:ascii="Times New Roman" w:hAnsi="Times New Roman" w:eastAsia="Times New Roman"/>
          <w:b w:val="0"/>
          <w:sz w:val="24"/>
        </w:rPr>
        <w:t>The practical calculation makes the process easier to understand: first identify the price paid or payable, add the amounts that are legally includible, determine the assessable value, and then calculate BCD, SWS and IGST according to the applicable tariff and notifications. For importers, maintaining complete and accurate documentation is just as important as knowing the formula. A transparent valuation reduces the chances of disputes and helps ensure that the correct amount of duty is paid.</w:t>
      </w:r>
    </w:p>
    <w:p>
      <w:pPr>
        <w:spacing w:line="360" w:lineRule="auto" w:after="0"/>
        <w:jc w:val="both"/>
      </w:pPr>
      <w:r>
        <w:rPr>
          <w:rFonts w:ascii="Times New Roman" w:hAnsi="Times New Roman" w:eastAsia="Times New Roman"/>
          <w:b w:val="0"/>
          <w:sz w:val="24"/>
        </w:rPr>
        <w:t>Ultimately, customs valuation is not about finding the highest possible value or simply accepting the lowest declared figure. It is about arriving at the value recognised by law on the basis of the actual transaction and the prescribed rules. That is what turns an imported price into a legally assessable value for customs duty.</w:t>
      </w:r>
    </w:p>
    <w:p>
      <w:pPr>
        <w:spacing w:line="360" w:lineRule="auto" w:after="120" w:before="160"/>
        <w:jc w:val="both"/>
      </w:pPr>
      <w:r>
        <w:rPr>
          <w:rFonts w:ascii="Times New Roman" w:hAnsi="Times New Roman" w:eastAsia="Times New Roman"/>
          <w:b/>
          <w:sz w:val="24"/>
        </w:rPr>
        <w:t>References</w:t>
      </w:r>
    </w:p>
    <w:p>
      <w:pPr>
        <w:spacing w:line="360" w:lineRule="auto" w:after="0"/>
        <w:jc w:val="both"/>
      </w:pPr>
      <w:r>
        <w:rPr>
          <w:rFonts w:ascii="Times New Roman" w:hAnsi="Times New Roman" w:eastAsia="Times New Roman"/>
          <w:b w:val="0"/>
          <w:sz w:val="24"/>
        </w:rPr>
        <w:t>1. Customs Act, 1962, s. 14, Central Board of Indirect Taxes and Customs, Tax Information Portal.</w:t>
      </w:r>
    </w:p>
    <w:p>
      <w:pPr>
        <w:spacing w:line="360" w:lineRule="auto" w:after="0"/>
        <w:jc w:val="both"/>
      </w:pPr>
      <w:r>
        <w:rPr>
          <w:rFonts w:ascii="Times New Roman" w:hAnsi="Times New Roman" w:eastAsia="Times New Roman"/>
          <w:b w:val="0"/>
          <w:sz w:val="24"/>
        </w:rPr>
        <w:t>2. Customs Valuation (Determination of Value of Imported Goods) Rules, 2007, rr. 3–10.</w:t>
      </w:r>
    </w:p>
    <w:p>
      <w:pPr>
        <w:spacing w:line="360" w:lineRule="auto" w:after="0"/>
        <w:jc w:val="both"/>
      </w:pPr>
      <w:r>
        <w:rPr>
          <w:rFonts w:ascii="Times New Roman" w:hAnsi="Times New Roman" w:eastAsia="Times New Roman"/>
          <w:b w:val="0"/>
          <w:sz w:val="24"/>
        </w:rPr>
        <w:t>3. Eicher Tractors Ltd. v. Commissioner of Customs, Mumbai, (2001) 1 SCC 315; 2000 (122) ELT 321 (SC).</w:t>
      </w:r>
    </w:p>
    <w:p>
      <w:pPr>
        <w:spacing w:line="360" w:lineRule="auto" w:after="0"/>
        <w:jc w:val="both"/>
      </w:pPr>
      <w:r>
        <w:rPr>
          <w:rFonts w:ascii="Times New Roman" w:hAnsi="Times New Roman" w:eastAsia="Times New Roman"/>
          <w:b w:val="0"/>
          <w:sz w:val="24"/>
        </w:rPr>
        <w:t>4. Customs Valuation (Determination of Value of Imported Goods) Rules, 2007, r. 12.</w:t>
      </w:r>
    </w:p>
    <w:p>
      <w:pPr>
        <w:spacing w:line="360" w:lineRule="auto" w:after="0"/>
        <w:jc w:val="both"/>
      </w:pPr>
      <w:r>
        <w:rPr>
          <w:rFonts w:ascii="Times New Roman" w:hAnsi="Times New Roman" w:eastAsia="Times New Roman"/>
          <w:b w:val="0"/>
          <w:sz w:val="24"/>
        </w:rPr>
        <w:t>5. Customs Valuation (Determination of Value of Imported Goods) Rules, 2007, r. 10.</w:t>
      </w:r>
    </w:p>
    <w:p>
      <w:pPr>
        <w:spacing w:line="360" w:lineRule="auto" w:after="0"/>
        <w:jc w:val="both"/>
      </w:pPr>
      <w:r>
        <w:rPr>
          <w:rFonts w:ascii="Times New Roman" w:hAnsi="Times New Roman" w:eastAsia="Times New Roman"/>
          <w:b w:val="0"/>
          <w:sz w:val="24"/>
        </w:rPr>
        <w:t>6. Finance Act, 2018, s. 110; Central Board of Indirect Taxes and Customs, “Social Welfare Surcharge”.</w:t>
      </w:r>
    </w:p>
    <w:p>
      <w:pPr>
        <w:spacing w:line="360" w:lineRule="auto" w:after="0"/>
        <w:jc w:val="both"/>
      </w:pPr>
      <w:r>
        <w:rPr>
          <w:rFonts w:ascii="Times New Roman" w:hAnsi="Times New Roman" w:eastAsia="Times New Roman"/>
          <w:b w:val="0"/>
          <w:sz w:val="24"/>
        </w:rPr>
        <w:t>7. Customs Tariff Act, 1975, s. 3(7); Integrated Goods and Services Tax Act, 2017, s. 5(1).</w:t>
      </w:r>
    </w:p>
    <w:p>
      <w:pPr>
        <w:spacing w:line="360" w:lineRule="auto" w:after="0"/>
        <w:jc w:val="both"/>
      </w:pPr>
      <w:r>
        <w:rPr>
          <w:rFonts w:ascii="Times New Roman" w:hAnsi="Times New Roman" w:eastAsia="Times New Roman"/>
          <w:b w:val="0"/>
          <w:sz w:val="24"/>
        </w:rPr>
        <w:t>8. Commissioner of Customs, Calcutta v. South India Television (P) Ltd., (2007) 6 SCC 373; 2007 (214) ELT 3 (SC).</w:t>
      </w:r>
    </w:p>
    <w:p>
      <w:pPr>
        <w:spacing w:line="360" w:lineRule="auto" w:after="0"/>
        <w:jc w:val="both"/>
      </w:pPr>
      <w:r>
        <w:rPr>
          <w:rFonts w:ascii="Times New Roman" w:hAnsi="Times New Roman" w:eastAsia="Times New Roman"/>
          <w:b w:val="0"/>
          <w:sz w:val="24"/>
        </w:rPr>
        <w:t>9. Central Board of Indirect Taxes and Customs, Customs Valuation (Determination of Value of Imported Goods) Rules, 2007, official Tax Information Portal.</w:t>
      </w:r>
    </w:p>
    <w:p>
      <w:pPr>
        <w:spacing w:line="360" w:lineRule="auto" w:after="0"/>
        <w:jc w:val="both"/>
      </w:pPr>
      <w:r>
        <w:rPr>
          <w:rFonts w:ascii="Times New Roman" w:hAnsi="Times New Roman" w:eastAsia="Times New Roman"/>
          <w:b w:val="0"/>
          <w:sz w:val="24"/>
        </w:rPr>
        <w:t>10. Central Board of Indirect Taxes and Customs, official materials on customs duty structure and import valuation.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