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BEFORE THE MADURAI BENCH OF MADRAS HIGH COURT</w:t>
      </w:r>
    </w:p>
    <w:p>
      <w:pPr>
        <w:rPr>
          <w:rFonts w:hint="default"/>
          <w:sz w:val="28"/>
          <w:szCs w:val="28"/>
        </w:rPr>
      </w:pPr>
    </w:p>
    <w:p>
      <w:pPr>
        <w:jc w:val="right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DATED: 08/08/2011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CORAM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THE HONOURABLE MR.JUSTICE VINOD K.SHARMA</w:t>
      </w:r>
    </w:p>
    <w:p>
      <w:pPr>
        <w:rPr>
          <w:rFonts w:hint="default"/>
          <w:sz w:val="28"/>
          <w:szCs w:val="28"/>
        </w:rPr>
      </w:pPr>
    </w:p>
    <w:p>
      <w:pPr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W.P.(MD)No.11427 of 2006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M/s.Strategic Engineering Private Limited,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B-6, SPICOT Industrial Complex,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Manamadurai-630 606,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Rep. by its Managing Director,</w:t>
      </w:r>
    </w:p>
    <w:p>
      <w:pPr>
        <w:rPr>
          <w:rFonts w:hint="default"/>
          <w:b/>
          <w:bCs/>
          <w:sz w:val="28"/>
          <w:szCs w:val="28"/>
        </w:rPr>
      </w:pPr>
      <w:r>
        <w:rPr>
          <w:rFonts w:hint="default"/>
          <w:sz w:val="28"/>
          <w:szCs w:val="28"/>
        </w:rPr>
        <w:t>Mr.T.N.Prasad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b/>
          <w:bCs/>
          <w:sz w:val="28"/>
          <w:szCs w:val="28"/>
        </w:rPr>
        <w:t>... Petitioner</w:t>
      </w:r>
    </w:p>
    <w:p>
      <w:pPr>
        <w:rPr>
          <w:rFonts w:hint="default"/>
          <w:sz w:val="28"/>
          <w:szCs w:val="28"/>
        </w:rPr>
      </w:pPr>
    </w:p>
    <w:p>
      <w:pPr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Vs.</w:t>
      </w:r>
    </w:p>
    <w:p>
      <w:pPr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The Additional Commissioner,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Central Excise,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Madurai Division,</w:t>
      </w:r>
    </w:p>
    <w:p>
      <w:pPr>
        <w:rPr>
          <w:rFonts w:hint="default"/>
          <w:b/>
          <w:bCs/>
          <w:sz w:val="28"/>
          <w:szCs w:val="28"/>
        </w:rPr>
      </w:pPr>
      <w:r>
        <w:rPr>
          <w:rFonts w:hint="default"/>
          <w:sz w:val="28"/>
          <w:szCs w:val="28"/>
        </w:rPr>
        <w:t>Madurai-625 -2</w:t>
      </w:r>
      <w:r>
        <w:rPr>
          <w:rFonts w:hint="default"/>
          <w:b/>
          <w:bCs/>
          <w:sz w:val="28"/>
          <w:szCs w:val="28"/>
        </w:rPr>
        <w:t>.</w:t>
      </w:r>
      <w:r>
        <w:rPr>
          <w:rFonts w:hint="default"/>
          <w:b/>
          <w:bCs/>
          <w:sz w:val="28"/>
          <w:szCs w:val="28"/>
          <w:lang w:val="en-US"/>
        </w:rPr>
        <w:t xml:space="preserve"> </w:t>
      </w:r>
      <w:r>
        <w:rPr>
          <w:rFonts w:hint="default"/>
          <w:b/>
          <w:bCs/>
          <w:sz w:val="28"/>
          <w:szCs w:val="28"/>
        </w:rPr>
        <w:t>... Respondent</w:t>
      </w:r>
    </w:p>
    <w:p>
      <w:pPr>
        <w:rPr>
          <w:rFonts w:hint="default"/>
          <w:b/>
          <w:bCs/>
          <w:sz w:val="28"/>
          <w:szCs w:val="28"/>
        </w:rPr>
      </w:pPr>
    </w:p>
    <w:p>
      <w:pPr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PRAYER</w:t>
      </w:r>
    </w:p>
    <w:p>
      <w:pPr>
        <w:rPr>
          <w:rFonts w:hint="default"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Writ Petition filed under Article 226 of the Constitution of India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praying to issue a Writ of Certiorari, calling for the records on the file of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the respondent and the impugned order in original No.15/2006 in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proceeding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C.No.V/ST/15/49/2005-Adjn dated 20.11.2006 levying Service Tax of Rs.38,99,485/-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; cess of Rs.5,628/-; penalty of Rs.39,60,877/- and interest for non payment of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service tax and to quash the same.</w:t>
      </w:r>
    </w:p>
    <w:p>
      <w:pPr>
        <w:rPr>
          <w:rFonts w:hint="default"/>
          <w:b/>
          <w:bCs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For Petitioner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  <w:lang w:val="en-US"/>
        </w:rPr>
        <w:t xml:space="preserve">  </w:t>
      </w:r>
      <w:r>
        <w:rPr>
          <w:rFonts w:hint="default"/>
          <w:sz w:val="28"/>
          <w:szCs w:val="28"/>
        </w:rPr>
        <w:t>... Mr.Joseph Prabakar</w:t>
      </w:r>
    </w:p>
    <w:p>
      <w:pPr>
        <w:rPr>
          <w:rFonts w:hint="default"/>
          <w:sz w:val="28"/>
          <w:szCs w:val="28"/>
        </w:rPr>
      </w:pPr>
      <w:bookmarkStart w:id="0" w:name="_GoBack"/>
      <w:bookmarkEnd w:id="0"/>
      <w:r>
        <w:rPr>
          <w:rFonts w:hint="default"/>
          <w:b/>
          <w:bCs/>
          <w:sz w:val="28"/>
          <w:szCs w:val="28"/>
        </w:rPr>
        <w:t xml:space="preserve">For Respondent </w:t>
      </w:r>
      <w:r>
        <w:rPr>
          <w:rFonts w:hint="default"/>
          <w:b/>
          <w:bCs/>
          <w:sz w:val="28"/>
          <w:szCs w:val="28"/>
          <w:lang w:val="en-US"/>
        </w:rPr>
        <w:t xml:space="preserve">  </w:t>
      </w:r>
      <w:r>
        <w:rPr>
          <w:rFonts w:hint="default"/>
          <w:sz w:val="28"/>
          <w:szCs w:val="28"/>
        </w:rPr>
        <w:t>... Mr.B.Vijaykarthikeyan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Senior standing counsel</w:t>
      </w:r>
    </w:p>
    <w:p>
      <w:pPr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ORDER</w:t>
      </w: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The petitioner has invoked the writ jurisdiction of this court, under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Article 226 of the Constitution of India, to challenge the order passed by the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Commissioner of Central Excise, Madurai, dated 20th November 2006, confirming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the demand of service tax against the petitioner.</w:t>
      </w:r>
    </w:p>
    <w:p>
      <w:pPr>
        <w:jc w:val="both"/>
        <w:rPr>
          <w:rFonts w:hint="default"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2.It is not in dispute that the petitioner has an alternative statutory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remedy of appeal against the impugned order.</w:t>
      </w:r>
    </w:p>
    <w:p>
      <w:pPr>
        <w:jc w:val="both"/>
        <w:rPr>
          <w:rFonts w:hint="default"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3.The respondent had challenged the maintainability of the writ petition,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due to availability of alternative statutory remedy.</w:t>
      </w:r>
    </w:p>
    <w:p>
      <w:pPr>
        <w:jc w:val="both"/>
        <w:rPr>
          <w:rFonts w:hint="default"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4.The learned counsel for the petitioner vehemently, contended that the</w:t>
      </w: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question of maintainability stood decided, at the time of admission.</w:t>
      </w:r>
    </w:p>
    <w:p>
      <w:pPr>
        <w:jc w:val="both"/>
        <w:rPr>
          <w:rFonts w:hint="default"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5.This contention is not correct, as the order clearly shows that the writ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petition was admitted, without notice to the respondent.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However,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the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subsequent records show, that after filing on affidavit, challenging the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maintainability of the writ petition, the respondent were directed to file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counter on merit the claim of the petitioner on merits. Therefore, it may not be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appropriate at this stage to relegate the petitioner to alternative statutory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remedy.</w:t>
      </w:r>
    </w:p>
    <w:p>
      <w:pPr>
        <w:jc w:val="both"/>
        <w:rPr>
          <w:rFonts w:hint="default"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6.The learned counsel for the petitioner has placed reliance on the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judgment of the Division Bench of this court, in the case of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Sri Palani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Dhandayuthabani Devasthanam vs. Commercial Tax Officer, Palani Circle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II, Palani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[2001-(ST4)-GJX-0280-MAD.], in support of the contention that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after the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admission of the writ, the court should normally hear the case on merit.</w:t>
      </w:r>
    </w:p>
    <w:p>
      <w:pPr>
        <w:jc w:val="both"/>
        <w:rPr>
          <w:rFonts w:hint="default"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</w:rPr>
        <w:t>7.Keeping in view the fact that the question raised, in this petition, is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purely legal, this court feels that this can be decided on merit</w:t>
      </w:r>
      <w:r>
        <w:rPr>
          <w:rFonts w:hint="default"/>
          <w:sz w:val="28"/>
          <w:szCs w:val="28"/>
          <w:lang w:val="en-US"/>
        </w:rPr>
        <w:t>.</w:t>
      </w:r>
    </w:p>
    <w:p>
      <w:pPr>
        <w:jc w:val="both"/>
        <w:rPr>
          <w:rFonts w:hint="default"/>
          <w:sz w:val="28"/>
          <w:szCs w:val="28"/>
          <w:lang w:val="en-US"/>
        </w:rPr>
      </w:pP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8.The petitioner Company were engaged in manufacture of FRP Pipes, falling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under Chaper No.7014.00 of the Central Excise Tariff.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The petitioner Company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also carries on the business of laying of GRP Pipes to its customers from whom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it receives the labour charges.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The GRP Pipes are laid inside the trench in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case of underground-buried construction.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The Buried pipe laying activity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involves trenching, bedding and laying inside the trench and aligning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appropriately.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The pipe lowering into the trench is executed by two men using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ropes and anchored to stakes.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Erection of pipes involves connecting the laid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pipes and subjecting the pipes to carry fluids. This activity is done by the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customers as per their own needs and requirements.</w:t>
      </w:r>
    </w:p>
    <w:p>
      <w:pPr>
        <w:jc w:val="both"/>
        <w:rPr>
          <w:rFonts w:hint="default"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9.The petitioner was issued a show cause notice, dated 30.05.2005,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demanding service tax under following categories:-</w:t>
      </w:r>
    </w:p>
    <w:p>
      <w:pPr>
        <w:jc w:val="both"/>
        <w:rPr>
          <w:rFonts w:hint="default"/>
          <w:sz w:val="28"/>
          <w:szCs w:val="28"/>
        </w:rPr>
      </w:pPr>
    </w:p>
    <w:p>
      <w:pPr>
        <w:ind w:leftChars="10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(a)under the taxable category of 'Erection, Commissioning and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installation' for receipt of labour charges for Erection of pipes and laying of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pipes; and</w:t>
      </w:r>
    </w:p>
    <w:p>
      <w:pPr>
        <w:ind w:leftChars="100"/>
        <w:jc w:val="both"/>
        <w:rPr>
          <w:rFonts w:hint="default"/>
          <w:sz w:val="28"/>
          <w:szCs w:val="28"/>
        </w:rPr>
      </w:pPr>
    </w:p>
    <w:p>
      <w:pPr>
        <w:ind w:leftChars="10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(b)under the taxable category of 'Scientific or Technical Consultancy'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services rendered by the Petitioner company to its non-resident clients.</w:t>
      </w:r>
    </w:p>
    <w:p>
      <w:pPr>
        <w:jc w:val="both"/>
        <w:rPr>
          <w:rFonts w:hint="default"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10.The petitioner submitted detailed reply taking a positive stand, that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the petitioner's case did not fall under the 'Commissioning and Installation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services', in view of the definition given under section 65(28) of the Finance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Act 1994, which reads as under:-</w:t>
      </w: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ab/>
      </w:r>
    </w:p>
    <w:p>
      <w:pPr>
        <w:ind w:leftChars="10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"65(28)"commissioning or installation" means any service provided by 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commissioning and installation agency in relation to commissioning or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installation of plant, machinery or equipment."</w:t>
      </w:r>
    </w:p>
    <w:p>
      <w:pPr>
        <w:jc w:val="both"/>
        <w:rPr>
          <w:rFonts w:hint="default"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11.It is not disputed, that laying of the GRP pipe, does not fall under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section 65(28) of the Finance Act 1994.</w:t>
      </w:r>
    </w:p>
    <w:p>
      <w:pPr>
        <w:jc w:val="both"/>
        <w:rPr>
          <w:rFonts w:hint="default"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12.The submission of the petitioner also finds support from the additional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counter affidavit filed on behalf of the respondent, wherein, in para 6 and 7,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it is stated as under:-</w:t>
      </w:r>
    </w:p>
    <w:p>
      <w:pPr>
        <w:jc w:val="both"/>
        <w:rPr>
          <w:rFonts w:hint="default"/>
          <w:sz w:val="28"/>
          <w:szCs w:val="28"/>
        </w:rPr>
      </w:pPr>
    </w:p>
    <w:p>
      <w:pPr>
        <w:ind w:leftChars="10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"6.Section 65(28) was omitted and a new Section 65(39a) was inserted with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effect from 10.09.2004 vide Section 90 of the Finance (No.2) Act, 2004 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follows:-</w:t>
      </w:r>
    </w:p>
    <w:p>
      <w:pPr>
        <w:jc w:val="both"/>
        <w:rPr>
          <w:rFonts w:hint="default"/>
          <w:sz w:val="28"/>
          <w:szCs w:val="28"/>
        </w:rPr>
      </w:pPr>
    </w:p>
    <w:p>
      <w:pPr>
        <w:ind w:leftChars="10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"(39a)' erection, commissioning or installation' means any service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provided by a commissioning and installation agency in relation to erection,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commissioning or installation of plant, machinery or equipment."</w:t>
      </w:r>
    </w:p>
    <w:p>
      <w:pPr>
        <w:jc w:val="both"/>
        <w:rPr>
          <w:rFonts w:hint="default"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7.Section 65(39a) was amended by substituting vide Section 88 of the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Finance Act, 2005, which is reproduced below.</w:t>
      </w:r>
    </w:p>
    <w:p>
      <w:pPr>
        <w:jc w:val="both"/>
        <w:rPr>
          <w:rFonts w:hint="default"/>
          <w:sz w:val="28"/>
          <w:szCs w:val="28"/>
        </w:rPr>
      </w:pPr>
    </w:p>
    <w:p>
      <w:pPr>
        <w:ind w:left="0" w:leftChars="0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</w:rPr>
        <w:t>"(39a)'erection, commissioning or installation' means any service provided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by a commissioning and installation agency, in relation to:-</w:t>
      </w:r>
      <w:r>
        <w:rPr>
          <w:rFonts w:hint="default"/>
          <w:sz w:val="28"/>
          <w:szCs w:val="28"/>
          <w:lang w:val="en-US"/>
        </w:rPr>
        <w:t xml:space="preserve"> </w:t>
      </w:r>
    </w:p>
    <w:p>
      <w:pPr>
        <w:jc w:val="both"/>
        <w:rPr>
          <w:rFonts w:hint="default"/>
          <w:sz w:val="28"/>
          <w:szCs w:val="28"/>
        </w:rPr>
      </w:pPr>
    </w:p>
    <w:p>
      <w:pPr>
        <w:ind w:left="0" w:leftChars="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(i)erection, commissioning or installation of plant, machinery or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equipment; or</w:t>
      </w:r>
    </w:p>
    <w:p>
      <w:pPr>
        <w:jc w:val="both"/>
        <w:rPr>
          <w:rFonts w:hint="default"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(ii)installation of--</w:t>
      </w:r>
    </w:p>
    <w:p>
      <w:pPr>
        <w:jc w:val="both"/>
        <w:rPr>
          <w:rFonts w:hint="default"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(a)electrical and electronic devices, including wirings or fittings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therefore; or</w:t>
      </w:r>
    </w:p>
    <w:p>
      <w:pPr>
        <w:ind w:left="0" w:leftChars="0"/>
        <w:jc w:val="both"/>
        <w:rPr>
          <w:rFonts w:hint="default"/>
          <w:sz w:val="28"/>
          <w:szCs w:val="28"/>
        </w:rPr>
      </w:pPr>
    </w:p>
    <w:p>
      <w:pPr>
        <w:ind w:left="0" w:leftChars="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(b)plumbing, drain laying or other installations for transport of fluids;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or</w:t>
      </w:r>
    </w:p>
    <w:p>
      <w:pPr>
        <w:ind w:left="0" w:leftChars="0"/>
        <w:jc w:val="both"/>
        <w:rPr>
          <w:rFonts w:hint="default"/>
          <w:sz w:val="28"/>
          <w:szCs w:val="28"/>
        </w:rPr>
      </w:pPr>
    </w:p>
    <w:p>
      <w:pPr>
        <w:ind w:left="0" w:leftChars="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(c)heating, ventilation or air-conditioning including related pipe work,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duct work and sheet metal work; or</w:t>
      </w:r>
    </w:p>
    <w:p>
      <w:pPr>
        <w:ind w:left="0" w:leftChars="0"/>
        <w:jc w:val="both"/>
        <w:rPr>
          <w:rFonts w:hint="default"/>
          <w:sz w:val="28"/>
          <w:szCs w:val="28"/>
        </w:rPr>
      </w:pPr>
    </w:p>
    <w:p>
      <w:pPr>
        <w:ind w:left="0" w:leftChars="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(d)thermal insulation, sound insulation, fire proofing or water proofing;</w:t>
      </w:r>
    </w:p>
    <w:p>
      <w:pPr>
        <w:ind w:left="0" w:leftChars="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or</w:t>
      </w:r>
    </w:p>
    <w:p>
      <w:pPr>
        <w:ind w:left="0" w:leftChars="0"/>
        <w:jc w:val="both"/>
        <w:rPr>
          <w:rFonts w:hint="default"/>
          <w:sz w:val="28"/>
          <w:szCs w:val="28"/>
        </w:rPr>
      </w:pPr>
    </w:p>
    <w:p>
      <w:pPr>
        <w:ind w:left="0" w:leftChars="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(e)lift and escalator, fire escape staircases or travelators ;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or</w:t>
      </w:r>
    </w:p>
    <w:p>
      <w:pPr>
        <w:ind w:left="0" w:leftChars="0"/>
        <w:jc w:val="both"/>
        <w:rPr>
          <w:rFonts w:hint="default"/>
          <w:sz w:val="28"/>
          <w:szCs w:val="28"/>
        </w:rPr>
      </w:pPr>
    </w:p>
    <w:p>
      <w:pPr>
        <w:ind w:left="0" w:leftChars="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(f)such other similar services."</w:t>
      </w:r>
    </w:p>
    <w:p>
      <w:pPr>
        <w:jc w:val="both"/>
        <w:rPr>
          <w:rFonts w:hint="default"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13.Thus, the plumbing, drain laying or other installations for transport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of fluids etc., was included in the definition of 'erection commissioning or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installation', for the first time, on 16th June 2005.</w:t>
      </w:r>
    </w:p>
    <w:p>
      <w:pPr>
        <w:jc w:val="both"/>
        <w:rPr>
          <w:rFonts w:hint="default"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14.The only contention raised by the respondent is, given in para 11 and</w:t>
      </w: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12 of the additional counter affidavit, which reads as under:-</w:t>
      </w:r>
    </w:p>
    <w:p>
      <w:pPr>
        <w:jc w:val="both"/>
        <w:rPr>
          <w:rFonts w:hint="default"/>
          <w:sz w:val="28"/>
          <w:szCs w:val="28"/>
        </w:rPr>
      </w:pPr>
    </w:p>
    <w:p>
      <w:pPr>
        <w:ind w:leftChars="10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"11.The contention of the petitioner is that GRP pipes definitely not 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plant, machinery or equipment and hence their services of laying of GRP pipes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would not attract service tax.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As per the contract order,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dated 12.09.2003, the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petitioner was to render the services of fabrication, erection, alignment and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hydro-testing of GRE piping at the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LGN Terminal Site, Hazira of M/s.Petron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Engineering Constructions Ltd.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GRE Piping is an integral part of a plant or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extension of a plant which includes machinery.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The said piping was to provide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fluid for the operation of the plaint and machinery at the above mentioned site.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Without the impugned piping, the plaint comprising machinery is not complete and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cannot be commissioned for operation of the intended purpose. Therefore, the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contention of the petitioner that laying of pipes is not a plant, machinery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or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equipment is not sustainable.</w:t>
      </w:r>
    </w:p>
    <w:p>
      <w:pPr>
        <w:jc w:val="both"/>
        <w:rPr>
          <w:rFonts w:hint="default"/>
          <w:sz w:val="28"/>
          <w:szCs w:val="28"/>
        </w:rPr>
      </w:pPr>
    </w:p>
    <w:p>
      <w:pPr>
        <w:ind w:leftChars="100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</w:rPr>
        <w:t>12.It is submitted that service tax was levied on "commissioning and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installation of plant, machinery and equipment" with effect from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01.07.2003.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The general practice in the trade and industry is that 'erection, commissioning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and installation' are contracted as a composite package.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The Central Board of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Excise and Customs vide Circular No.80/10/2004-ST, dated 17.09.2004 had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clarified that in case of a composite contract for erection, commissioning and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installation, the erection charges would be taxed as part of commissioning and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installation service. Therefore, the contention of the petitioner is not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sustainable."</w:t>
      </w:r>
      <w:r>
        <w:rPr>
          <w:rFonts w:hint="default"/>
          <w:sz w:val="28"/>
          <w:szCs w:val="28"/>
          <w:lang w:val="en-US"/>
        </w:rPr>
        <w:t xml:space="preserve"> </w:t>
      </w:r>
    </w:p>
    <w:p>
      <w:pPr>
        <w:jc w:val="both"/>
        <w:rPr>
          <w:rFonts w:hint="default"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15.The reading of the additional counter shows, that the respondent has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demanded the service tax from the petitioner, by treating it to be carrying on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business for execution of work contract.</w:t>
      </w:r>
    </w:p>
    <w:p>
      <w:pPr>
        <w:jc w:val="both"/>
        <w:rPr>
          <w:rFonts w:hint="default"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16.This plea of the respondent deserves to be noticed to be rejected, 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the work contract was, first time, included under 65(105) (zzzza) with effect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from 1st June 2007, which is defined, as under:-</w:t>
      </w:r>
    </w:p>
    <w:p>
      <w:pPr>
        <w:jc w:val="both"/>
        <w:rPr>
          <w:rFonts w:hint="default"/>
          <w:sz w:val="28"/>
          <w:szCs w:val="28"/>
        </w:rPr>
      </w:pPr>
    </w:p>
    <w:p>
      <w:pPr>
        <w:ind w:leftChars="10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"9.So far as the execution of the works contract is concerned, the work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contract is defined under section 65(105)(zzzza), which reads as under:</w:t>
      </w:r>
    </w:p>
    <w:p>
      <w:pPr>
        <w:jc w:val="both"/>
        <w:rPr>
          <w:rFonts w:hint="default"/>
          <w:sz w:val="28"/>
          <w:szCs w:val="28"/>
        </w:rPr>
      </w:pPr>
    </w:p>
    <w:p>
      <w:pPr>
        <w:ind w:leftChars="10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(zzzza) to any person, by any other person in relation to the execution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a works contract, excluding works contract in respect of roads, airports,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railways, transport terminals, bridges, tunnels and dams.</w:t>
      </w:r>
    </w:p>
    <w:p>
      <w:pPr>
        <w:jc w:val="both"/>
        <w:rPr>
          <w:rFonts w:hint="default"/>
          <w:sz w:val="28"/>
          <w:szCs w:val="28"/>
        </w:rPr>
      </w:pPr>
    </w:p>
    <w:p>
      <w:pPr>
        <w:ind w:leftChars="10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Explanation:- For the purposes of this sub-clause, 'works contract' means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a contract wherein,-</w:t>
      </w:r>
    </w:p>
    <w:p>
      <w:pPr>
        <w:jc w:val="both"/>
        <w:rPr>
          <w:rFonts w:hint="default"/>
          <w:sz w:val="28"/>
          <w:szCs w:val="28"/>
        </w:rPr>
      </w:pPr>
    </w:p>
    <w:p>
      <w:pPr>
        <w:ind w:leftChars="10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(i)transfer of property in goods involved in the execution of such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contract is leviable to tax as sale of goods, and</w:t>
      </w:r>
    </w:p>
    <w:p>
      <w:pPr>
        <w:ind w:leftChars="100"/>
        <w:jc w:val="both"/>
        <w:rPr>
          <w:rFonts w:hint="default"/>
          <w:sz w:val="28"/>
          <w:szCs w:val="28"/>
        </w:rPr>
      </w:pPr>
    </w:p>
    <w:p>
      <w:pPr>
        <w:ind w:leftChars="10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(ii)such contract is for the purposes of carrying out,-</w:t>
      </w:r>
    </w:p>
    <w:p>
      <w:pPr>
        <w:rPr>
          <w:rFonts w:hint="default"/>
          <w:sz w:val="28"/>
          <w:szCs w:val="28"/>
        </w:rPr>
      </w:pPr>
    </w:p>
    <w:p>
      <w:pPr>
        <w:ind w:leftChars="10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(a)erection, commissioning or installation of plant, machinery, equipment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or structures, whether pre-fabricated or otherwise, installation of electrical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and electronic devices, plumbing, drain laying or other installations for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transport of fluids, heating, ventilation or air-conditioning including related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pipe work, duct work and sheet metal work, thermal insulation, sound insulation,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fire proofing or water proofing, lift and escalator, fire escape staircase or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elevators; or</w:t>
      </w:r>
    </w:p>
    <w:p>
      <w:pPr>
        <w:jc w:val="both"/>
        <w:rPr>
          <w:rFonts w:hint="default"/>
          <w:sz w:val="28"/>
          <w:szCs w:val="28"/>
        </w:rPr>
      </w:pPr>
    </w:p>
    <w:p>
      <w:pPr>
        <w:ind w:leftChars="10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(b)construction of a new building or a civil structure of a part thereof,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or of a pipeline or conduit, primarily for the purposes of commerce or industry;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or</w:t>
      </w: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ab/>
      </w:r>
    </w:p>
    <w:p>
      <w:pPr>
        <w:ind w:leftChars="10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(c)construction of a new residential complex or a part thereof; or</w:t>
      </w:r>
    </w:p>
    <w:p>
      <w:pPr>
        <w:jc w:val="both"/>
        <w:rPr>
          <w:rFonts w:hint="default"/>
          <w:sz w:val="28"/>
          <w:szCs w:val="28"/>
        </w:rPr>
      </w:pPr>
    </w:p>
    <w:p>
      <w:pPr>
        <w:ind w:leftChars="10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(d)completion and finishing services, repair, alteration, renovation or</w:t>
      </w: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restoration of, or similar services, in relation to (b) and [c]; or</w:t>
      </w:r>
    </w:p>
    <w:p>
      <w:pPr>
        <w:ind w:leftChars="100"/>
        <w:rPr>
          <w:rFonts w:hint="default"/>
          <w:sz w:val="28"/>
          <w:szCs w:val="28"/>
        </w:rPr>
      </w:pPr>
    </w:p>
    <w:p>
      <w:pPr>
        <w:ind w:leftChars="10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(e)turnkey projects including engineering, procurement and construction or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commissioning (EPC) Projects."</w:t>
      </w:r>
    </w:p>
    <w:p>
      <w:pPr>
        <w:jc w:val="both"/>
        <w:rPr>
          <w:rFonts w:hint="default"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17.The facts stated herein above prove beyond the doubt, that the demand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raised against the petitioner is not sustainable law, as the period for which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the demand has been raised does not cover the services of the petitioner for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imposition of service tax.</w:t>
      </w:r>
    </w:p>
    <w:p>
      <w:pPr>
        <w:jc w:val="both"/>
        <w:rPr>
          <w:rFonts w:hint="default"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18.The show cause notice as well as the impugned order, therefore, is out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come of misreading of the provisions of the Finance Act 1994, which cannot be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sustained in law.</w:t>
      </w:r>
    </w:p>
    <w:p>
      <w:pPr>
        <w:jc w:val="both"/>
        <w:rPr>
          <w:rFonts w:hint="default"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19.For the reasons stated above, the writ petition is allowed, impugned</w:t>
      </w: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order is quashed. No costs.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E3780"/>
    <w:rsid w:val="0AFE3780"/>
    <w:rsid w:val="461039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2018-11-23T08:58:00Z</dcterms:created>
  <dc:creator>user2</dc:creator>
  <cp:lastModifiedBy>user1</cp:lastModifiedBy>
  <dcterms:modified xsi:type="dcterms:W3CDTF">2018-11-23T09:17:44Z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