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</w:rPr>
      </w:pPr>
      <w:bookmarkStart w:id="0" w:name="_GoBack"/>
      <w:bookmarkEnd w:id="0"/>
      <w:r>
        <w:rPr>
          <w:rFonts w:hint="default"/>
          <w:b/>
          <w:bCs/>
          <w:sz w:val="28"/>
          <w:szCs w:val="28"/>
        </w:rPr>
        <w:t>BEFORE THE MADURAI BENCH OF MADRAS HIGH COURT</w:t>
      </w:r>
    </w:p>
    <w:p>
      <w:pPr>
        <w:rPr>
          <w:rFonts w:hint="default"/>
          <w:sz w:val="28"/>
          <w:szCs w:val="28"/>
        </w:rPr>
      </w:pPr>
    </w:p>
    <w:p>
      <w:pPr>
        <w:jc w:val="right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DATED: 28/04/2010</w:t>
      </w: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CORAM</w:t>
      </w: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THE HONOURABLE MR.JUSTICE P.JYOTHIMANI</w:t>
      </w: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W.P.(MD)No.5998 of 2010</w:t>
      </w: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and</w:t>
      </w: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W.P.(MD)No.5999 of 2010</w:t>
      </w: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and</w:t>
      </w: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M.P.(MD) Nos.1 and 1 of 2010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N.Ponnulingam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                 </w:t>
      </w:r>
      <w:r>
        <w:rPr>
          <w:rFonts w:hint="default"/>
          <w:b/>
          <w:bCs/>
          <w:sz w:val="28"/>
          <w:szCs w:val="28"/>
        </w:rPr>
        <w:t>... Petitioner in</w:t>
      </w:r>
    </w:p>
    <w:p>
      <w:pPr>
        <w:jc w:val="center"/>
        <w:rPr>
          <w:rFonts w:hint="default"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W.P.No.5998/2010</w:t>
      </w: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S.Ponniah</w:t>
      </w:r>
      <w:r>
        <w:rPr>
          <w:rFonts w:hint="default"/>
          <w:b/>
          <w:bCs/>
          <w:sz w:val="28"/>
          <w:szCs w:val="28"/>
        </w:rPr>
        <w:tab/>
      </w:r>
      <w:r>
        <w:rPr>
          <w:rFonts w:hint="default"/>
          <w:b/>
          <w:bCs/>
          <w:sz w:val="28"/>
          <w:szCs w:val="28"/>
        </w:rPr>
        <w:tab/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                          </w:t>
      </w:r>
      <w:r>
        <w:rPr>
          <w:rFonts w:hint="default"/>
          <w:b/>
          <w:bCs/>
          <w:sz w:val="28"/>
          <w:szCs w:val="28"/>
        </w:rPr>
        <w:t>... Petitioner in</w:t>
      </w: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W.P.No.5999/2010</w:t>
      </w: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Vs</w:t>
      </w: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1.The Director General of Police,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Tamil Nadu,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Chennai - 4.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2.The Commissioner of Police,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Tirunelveli City,</w:t>
      </w: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sz w:val="28"/>
          <w:szCs w:val="28"/>
        </w:rPr>
        <w:t>Tirunelveli District.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                </w:t>
      </w:r>
      <w:r>
        <w:rPr>
          <w:rFonts w:hint="default"/>
          <w:b/>
          <w:bCs/>
          <w:sz w:val="28"/>
          <w:szCs w:val="28"/>
          <w:lang w:val="en-US"/>
        </w:rPr>
        <w:t xml:space="preserve"> </w:t>
      </w:r>
      <w:r>
        <w:rPr>
          <w:rFonts w:hint="default"/>
          <w:b/>
          <w:bCs/>
          <w:sz w:val="28"/>
          <w:szCs w:val="28"/>
        </w:rPr>
        <w:t>... Respondents</w:t>
      </w:r>
    </w:p>
    <w:p>
      <w:pPr>
        <w:rPr>
          <w:rFonts w:hint="default"/>
          <w:b/>
          <w:bCs/>
          <w:sz w:val="28"/>
          <w:szCs w:val="28"/>
        </w:rPr>
      </w:pP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PRAYER</w:t>
      </w:r>
    </w:p>
    <w:p>
      <w:pPr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Writ Petitions are filed under Article 226 of the Constitution of India</w:t>
      </w:r>
      <w:r>
        <w:rPr>
          <w:rFonts w:hint="default"/>
          <w:b/>
          <w:bCs/>
          <w:sz w:val="28"/>
          <w:szCs w:val="28"/>
          <w:lang w:val="en-US"/>
        </w:rPr>
        <w:t xml:space="preserve"> </w:t>
      </w:r>
      <w:r>
        <w:rPr>
          <w:rFonts w:hint="default"/>
          <w:b/>
          <w:bCs/>
          <w:sz w:val="28"/>
          <w:szCs w:val="28"/>
        </w:rPr>
        <w:t>praying to issue a Writ of</w:t>
      </w:r>
      <w:r>
        <w:rPr>
          <w:rFonts w:hint="default"/>
          <w:b/>
          <w:bCs/>
          <w:sz w:val="28"/>
          <w:szCs w:val="28"/>
          <w:lang w:val="en-US"/>
        </w:rPr>
        <w:t xml:space="preserve"> </w:t>
      </w:r>
      <w:r>
        <w:rPr>
          <w:rFonts w:hint="default"/>
          <w:b/>
          <w:bCs/>
          <w:sz w:val="28"/>
          <w:szCs w:val="28"/>
        </w:rPr>
        <w:t>Mandamus directing the respondents to promote the</w:t>
      </w:r>
      <w:r>
        <w:rPr>
          <w:rFonts w:hint="default"/>
          <w:b/>
          <w:bCs/>
          <w:sz w:val="28"/>
          <w:szCs w:val="28"/>
          <w:lang w:val="en-US"/>
        </w:rPr>
        <w:t xml:space="preserve"> </w:t>
      </w:r>
      <w:r>
        <w:rPr>
          <w:rFonts w:hint="default"/>
          <w:b/>
          <w:bCs/>
          <w:sz w:val="28"/>
          <w:szCs w:val="28"/>
        </w:rPr>
        <w:t>petitioners for the post of Sub-Inspector of Police with effect from January</w:t>
      </w:r>
      <w:r>
        <w:rPr>
          <w:rFonts w:hint="default"/>
          <w:b/>
          <w:bCs/>
          <w:sz w:val="28"/>
          <w:szCs w:val="28"/>
          <w:lang w:val="en-US"/>
        </w:rPr>
        <w:t xml:space="preserve"> </w:t>
      </w:r>
      <w:r>
        <w:rPr>
          <w:rFonts w:hint="default"/>
          <w:b/>
          <w:bCs/>
          <w:sz w:val="28"/>
          <w:szCs w:val="28"/>
        </w:rPr>
        <w:t>2008 and 2010 respectively.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For Petitioner</w:t>
      </w:r>
      <w:r>
        <w:rPr>
          <w:rFonts w:hint="default"/>
          <w:b/>
          <w:bCs/>
          <w:sz w:val="28"/>
          <w:szCs w:val="28"/>
        </w:rPr>
        <w:tab/>
      </w:r>
      <w:r>
        <w:rPr>
          <w:rFonts w:hint="default"/>
          <w:b/>
          <w:bCs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 xml:space="preserve">... 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Mr.S.Ramasamy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 xml:space="preserve">For Respondents </w:t>
      </w:r>
      <w:r>
        <w:rPr>
          <w:rFonts w:hint="default"/>
          <w:sz w:val="28"/>
          <w:szCs w:val="28"/>
        </w:rPr>
        <w:t xml:space="preserve">... 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Mr.R.Manoharan, G.A.</w:t>
      </w:r>
    </w:p>
    <w:p>
      <w:pPr>
        <w:rPr>
          <w:rFonts w:hint="default"/>
          <w:sz w:val="28"/>
          <w:szCs w:val="28"/>
        </w:rPr>
      </w:pPr>
    </w:p>
    <w:p>
      <w:pPr>
        <w:jc w:val="center"/>
        <w:rPr>
          <w:rFonts w:hint="default"/>
          <w:b/>
          <w:bCs/>
          <w:sz w:val="28"/>
          <w:szCs w:val="28"/>
          <w:u w:val="single"/>
        </w:rPr>
      </w:pPr>
      <w:r>
        <w:rPr>
          <w:rFonts w:hint="default"/>
          <w:b/>
          <w:bCs/>
          <w:sz w:val="28"/>
          <w:szCs w:val="28"/>
          <w:u w:val="single"/>
        </w:rPr>
        <w:t>COMMON ORDER</w:t>
      </w:r>
    </w:p>
    <w:p>
      <w:pPr>
        <w:rPr>
          <w:rFonts w:hint="default"/>
          <w:sz w:val="28"/>
          <w:szCs w:val="28"/>
        </w:rPr>
      </w:pP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************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Mr.R.Manoharan, learned Government Advocate takes notice on behalf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of the respondents.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By consent, the main writ petitions itself are taken up for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final disposal.</w:t>
      </w:r>
    </w:p>
    <w:p>
      <w:pPr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The case of the petitioners is that they are appointed as Police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Constables in the year 1975 and 1977 respectively, by direct recruitment in 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Tamil Nadu Police Department and they were promoted as Grade-I Police Constable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in the year 1993 and 1995 respectively and subsequently as Head Constable in 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year 1998 and 1999 respectively.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It is stated that the petitioners have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completed 35 years and 33 years of service in the police department and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according to them, they are eligible for consideration for promotion to the post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of Special Sub Inspectors of Police as per G.O.Ms.No.15 Home (Pol.V) Department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dated 07.01.2010, which contemplates a scheme of upgradation as a Special Sub-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Inspectors of Police in respect of a person, who is having experience of 25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years of service and 10 years of service as Head Constable in the police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department, by fixing 1st June of every year as crucial date.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 relevant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portion of the said Government Order is as follows:</w:t>
      </w:r>
    </w:p>
    <w:p>
      <w:pPr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"The Director General of Police has now stated that the Government,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in their order in G.O.Ms.No.844, Home (Police V) Department, dated 03.06.97 have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commenced the upgraded scheme in a time bound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manner in respect of Police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Personnel and those Grade-II Police</w:t>
      </w:r>
      <w:r>
        <w:rPr>
          <w:rFonts w:hint="default"/>
          <w:sz w:val="28"/>
          <w:szCs w:val="28"/>
          <w:lang w:val="en-US"/>
        </w:rPr>
        <w:t xml:space="preserve">  </w:t>
      </w:r>
      <w:r>
        <w:rPr>
          <w:rFonts w:hint="default"/>
          <w:sz w:val="28"/>
          <w:szCs w:val="28"/>
        </w:rPr>
        <w:t>onstables who had completed 10 years of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service, were ordered to be upgraded as Grade-I Police Constables and Grade-I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Police Constables who had completed 5 years of service to be upgraded as Head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Constables and similarly in G.O.Ms.No.937, Home (Police 3)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Department, dated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21.07.1998, the Government have introduced the scheme of upgradation as Special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Sub-Inspectors of Police, for which Police Personnel appointed as Grade-II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Police Constable should have completed 25 years of service, out of which for 10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years they should have served as Head Constable, and 1st June of every year was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fixed as crucial date."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>3. It is the further case of the petitioners that as per the said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Government Order, they are eligible for the upgradation under the Scheme 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Special Sub-Inspectors of Police and the petitioners have made representations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dated 15.03.2010 and 08.02.2010 respectively, for conferment to the benefit of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 said Government Order.</w:t>
      </w:r>
      <w:r>
        <w:rPr>
          <w:rFonts w:hint="default"/>
          <w:sz w:val="28"/>
          <w:szCs w:val="28"/>
          <w:lang w:val="en-US"/>
        </w:rPr>
        <w:t xml:space="preserve"> 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It is an admitted case that there was a departmental proceedings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initiated against the petitioners, which resulted in the order of punishment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dated 15.02.2008, by which, the petitioner have been inflicted punishment of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stoppage of increment for a period of two years, which shall not operate 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postpone their future increments and also on the pensionary benefits upon 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delinquents.</w:t>
      </w:r>
    </w:p>
    <w:p>
      <w:pPr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It is also an admitted case that as on the crucial date, 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currency of the said punishment is ineffect.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Under similar circumstances, 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Division Bench of this Court in Subramanian Vs. Government of Tamilnadu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represents by its Secretary, Chennai and others reported in 2008(5) MLJ 350,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while refusing to interfere with the punishment of stoppage of increment of 2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years with cumulative effect held that the punishment of stoppage of increment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for two years with cumulative effect can only be termed as minor punishment.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On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that basis, the petitioners could not be denied promotion and such punishment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would not stand in the way of giving promotion while considering their past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service records.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If they are otherwise eligible, taking note of the fact that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by the time, the petitioner has attained the age of superannuation to consider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their promotion on supernumerary basis for the purpose of conferment of 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retirement benefits.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 portion of the said judgment is as follows:</w:t>
      </w:r>
    </w:p>
    <w:p>
      <w:pPr>
        <w:rPr>
          <w:rFonts w:hint="default"/>
          <w:sz w:val="28"/>
          <w:szCs w:val="28"/>
        </w:rPr>
      </w:pPr>
    </w:p>
    <w:p>
      <w:pPr>
        <w:ind w:leftChars="10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"The petitioner was admittedly imposed punishment of stoppage of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increment for two years without cumulative effect, as per G.O.(2D) No.49, dated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16.10.2000.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As contended by the learned counsel for the petitioner, it could be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construed only as a minor punishment and solely based on the same, he could be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denied further promotion.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It is seen further that stoppage of increment was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given effect by order, dated 16.10.2000 for two years.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 respondents have not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denied that the petitioner had to attain superannuation only on 30.04.2003.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such circumstances, he was eligible to be considered for promotion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along with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his junior, prior to the date of superannuation.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If he is otherwise fir for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promotion along with his juniors, he would be eligible for national promotion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and based on which, eligible for corresponding retirement benefits."</w:t>
      </w:r>
    </w:p>
    <w:p>
      <w:pPr>
        <w:jc w:val="both"/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Applying the ratio laid down by the Division Bench to the facts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and circumstances of the present cases, wherein, the punishment suffered and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which is in currency by the petitioners is stoppage of two increments without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cumulative effect and taking note of the fact that as per the G.O.Ms.No.15 Home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(Pol.V) Department dated 07.01.2010, the petitioners are eligible to be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considered for the upgradation to the next post of Special Sub-Inspectors of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Police under the scheme of the Government enumerated above.</w:t>
      </w:r>
    </w:p>
    <w:p>
      <w:pPr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</w:rPr>
        <w:t>7. Accordingly, these writ petitions are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disposed of with 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direction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against the 1st respondent to consider the representation of the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petitioners' dated 15.03.2010 and 08.02.2010 and to pass appropriate orders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regarding the conferment of the upgradation of the petitioners as Special Sub-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Inspectors as per the G.O.Ms.No.15 Home (Pol.V) Department dated 07.01.2010, if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there are no other legal impediment and such order shall be passed within 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period of four weeks from the date of receipt of a copy of this order.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No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costs.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Consequently, connected miscellaneous petitions are closed.</w:t>
      </w:r>
      <w:r>
        <w:rPr>
          <w:rFonts w:hint="default"/>
          <w:sz w:val="28"/>
          <w:szCs w:val="28"/>
          <w:lang w:val="en-US"/>
        </w:rPr>
        <w:t xml:space="preserve"> </w:t>
      </w:r>
    </w:p>
    <w:p>
      <w:pPr>
        <w:rPr>
          <w:rFonts w:hint="default"/>
          <w:b/>
          <w:bCs/>
          <w:sz w:val="28"/>
          <w:szCs w:val="28"/>
        </w:rPr>
      </w:pPr>
    </w:p>
    <w:p>
      <w:p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Arul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1.The Director General of Police,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Tamil Nadu,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Chennai - 4.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2.The Commissioner of Police,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Tirunelveli City,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</w:rPr>
        <w:t>Tirunelveli District.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17A5F"/>
    <w:rsid w:val="3D417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2018-11-24T06:46:00Z</dcterms:created>
  <dc:creator>user1</dc:creator>
  <cp:lastModifiedBy>user1</cp:lastModifiedBy>
  <dcterms:modified xsi:type="dcterms:W3CDTF">2018-11-24T06:57:51Z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